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53466" w14:textId="77777777" w:rsidR="00234514" w:rsidRDefault="00E15549">
      <w:pPr>
        <w:pBdr>
          <w:top w:val="nil"/>
          <w:left w:val="nil"/>
          <w:bottom w:val="nil"/>
          <w:right w:val="nil"/>
          <w:between w:val="nil"/>
        </w:pBdr>
        <w:spacing w:after="120"/>
        <w:jc w:val="center"/>
        <w:rPr>
          <w:b/>
          <w:color w:val="000000"/>
        </w:rPr>
      </w:pPr>
      <w:r>
        <w:rPr>
          <w:noProof/>
          <w:color w:val="000000"/>
        </w:rPr>
        <w:drawing>
          <wp:inline distT="0" distB="0" distL="0" distR="0" wp14:anchorId="5682FF66" wp14:editId="7A8CC178">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7"/>
                    <a:srcRect/>
                    <a:stretch>
                      <a:fillRect/>
                    </a:stretch>
                  </pic:blipFill>
                  <pic:spPr>
                    <a:xfrm>
                      <a:off x="0" y="0"/>
                      <a:ext cx="581025" cy="685800"/>
                    </a:xfrm>
                    <a:prstGeom prst="rect">
                      <a:avLst/>
                    </a:prstGeom>
                    <a:ln/>
                  </pic:spPr>
                </pic:pic>
              </a:graphicData>
            </a:graphic>
          </wp:inline>
        </w:drawing>
      </w:r>
    </w:p>
    <w:p w14:paraId="4CE7E2ED" w14:textId="77777777" w:rsidR="00234514" w:rsidRDefault="00E15549">
      <w:pPr>
        <w:pBdr>
          <w:top w:val="nil"/>
          <w:left w:val="nil"/>
          <w:bottom w:val="nil"/>
          <w:right w:val="nil"/>
          <w:between w:val="nil"/>
        </w:pBdr>
        <w:ind w:left="720" w:hanging="720"/>
        <w:jc w:val="center"/>
        <w:rPr>
          <w:color w:val="000000"/>
        </w:rPr>
      </w:pPr>
      <w:r>
        <w:rPr>
          <w:color w:val="000000"/>
        </w:rPr>
        <w:t>LATVIJAS  REPUBLIKA</w:t>
      </w:r>
    </w:p>
    <w:p w14:paraId="76F98EF0" w14:textId="77777777" w:rsidR="00234514" w:rsidRDefault="00E15549">
      <w:pPr>
        <w:pBdr>
          <w:bottom w:val="single" w:sz="12" w:space="1" w:color="000000"/>
        </w:pBdr>
        <w:ind w:left="720" w:hanging="720"/>
        <w:jc w:val="center"/>
        <w:rPr>
          <w:b/>
          <w:sz w:val="28"/>
          <w:szCs w:val="28"/>
        </w:rPr>
      </w:pPr>
      <w:r>
        <w:rPr>
          <w:b/>
          <w:sz w:val="28"/>
          <w:szCs w:val="28"/>
        </w:rPr>
        <w:t xml:space="preserve"> PRIEKUĻU NOVADA PAŠVALDĪBA</w:t>
      </w:r>
    </w:p>
    <w:p w14:paraId="5EED7C28" w14:textId="77777777" w:rsidR="00234514" w:rsidRDefault="00E15549">
      <w:pPr>
        <w:ind w:left="720" w:hanging="720"/>
        <w:jc w:val="center"/>
        <w:rPr>
          <w:sz w:val="18"/>
          <w:szCs w:val="18"/>
        </w:rPr>
      </w:pPr>
      <w:r>
        <w:rPr>
          <w:sz w:val="18"/>
          <w:szCs w:val="18"/>
        </w:rPr>
        <w:t>Reģistrācijas Nr. 90000057511, Cēsu prospekts 5, Priekuļi, Priekuļu pagasts, Priekuļu novads, LV-4126</w:t>
      </w:r>
    </w:p>
    <w:p w14:paraId="57C0E4D2" w14:textId="77777777" w:rsidR="00234514" w:rsidRDefault="00E15549">
      <w:pPr>
        <w:ind w:left="720" w:hanging="720"/>
        <w:jc w:val="center"/>
        <w:rPr>
          <w:b/>
        </w:rPr>
      </w:pPr>
      <w:r>
        <w:rPr>
          <w:sz w:val="18"/>
          <w:szCs w:val="18"/>
        </w:rPr>
        <w:t xml:space="preserve"> www.priekuli.lv, tālr. 64107871, e-pasts: </w:t>
      </w:r>
      <w:r>
        <w:rPr>
          <w:color w:val="000000"/>
          <w:sz w:val="18"/>
          <w:szCs w:val="18"/>
        </w:rPr>
        <w:t>dome@priekulunovads.lv</w:t>
      </w:r>
    </w:p>
    <w:p w14:paraId="1E172169" w14:textId="77777777" w:rsidR="00234514" w:rsidRDefault="00234514"/>
    <w:p w14:paraId="5666E84E" w14:textId="77777777" w:rsidR="00260FF5" w:rsidRPr="0071022F" w:rsidRDefault="00260FF5" w:rsidP="00260FF5">
      <w:pPr>
        <w:autoSpaceDN w:val="0"/>
        <w:jc w:val="center"/>
        <w:outlineLvl w:val="0"/>
        <w:rPr>
          <w:b/>
        </w:rPr>
      </w:pPr>
      <w:bookmarkStart w:id="0" w:name="_Hlk41983355"/>
      <w:bookmarkStart w:id="1" w:name="_Hlk41897125"/>
      <w:r w:rsidRPr="0071022F">
        <w:rPr>
          <w:b/>
        </w:rPr>
        <w:t>Lēmums</w:t>
      </w:r>
    </w:p>
    <w:p w14:paraId="44EAE2F5" w14:textId="77777777" w:rsidR="00260FF5" w:rsidRPr="0071022F" w:rsidRDefault="00260FF5" w:rsidP="00260FF5">
      <w:pPr>
        <w:autoSpaceDN w:val="0"/>
        <w:jc w:val="center"/>
        <w:outlineLvl w:val="0"/>
      </w:pPr>
      <w:r w:rsidRPr="0071022F">
        <w:t>Priekuļu novada Priekuļu pagastā</w:t>
      </w:r>
    </w:p>
    <w:p w14:paraId="0211BD0E" w14:textId="77777777" w:rsidR="00260FF5" w:rsidRPr="0071022F" w:rsidRDefault="00260FF5" w:rsidP="00260FF5">
      <w:pPr>
        <w:autoSpaceDN w:val="0"/>
        <w:jc w:val="center"/>
      </w:pPr>
      <w:bookmarkStart w:id="2" w:name="_Hlk36209888"/>
    </w:p>
    <w:p w14:paraId="7D8E72B6" w14:textId="46753DA1" w:rsidR="00260FF5" w:rsidRPr="0071022F" w:rsidRDefault="00260FF5" w:rsidP="00260FF5">
      <w:pPr>
        <w:autoSpaceDN w:val="0"/>
        <w:jc w:val="both"/>
        <w:rPr>
          <w:bCs/>
          <w:iCs/>
        </w:rPr>
      </w:pPr>
      <w:bookmarkStart w:id="3" w:name="_Hlk52016375"/>
      <w:bookmarkStart w:id="4" w:name="_Hlk57643696"/>
      <w:bookmarkStart w:id="5" w:name="_Hlk31043150"/>
      <w:r w:rsidRPr="0071022F">
        <w:rPr>
          <w:bCs/>
          <w:iCs/>
        </w:rPr>
        <w:t>2</w:t>
      </w:r>
      <w:bookmarkStart w:id="6" w:name="_Hlk33613557"/>
      <w:r w:rsidRPr="0071022F">
        <w:rPr>
          <w:bCs/>
          <w:iCs/>
        </w:rPr>
        <w:t>02</w:t>
      </w:r>
      <w:r>
        <w:rPr>
          <w:bCs/>
          <w:iCs/>
        </w:rPr>
        <w:t>1</w:t>
      </w:r>
      <w:r w:rsidRPr="0071022F">
        <w:rPr>
          <w:bCs/>
          <w:iCs/>
        </w:rPr>
        <w:t xml:space="preserve">.gada </w:t>
      </w:r>
      <w:bookmarkEnd w:id="3"/>
      <w:bookmarkEnd w:id="4"/>
      <w:r>
        <w:rPr>
          <w:bCs/>
          <w:iCs/>
        </w:rPr>
        <w:t>28.janvārī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21</w:t>
      </w:r>
    </w:p>
    <w:p w14:paraId="5CD3ABE6" w14:textId="315FE231" w:rsidR="00260FF5" w:rsidRPr="0071022F" w:rsidRDefault="00260FF5" w:rsidP="00260FF5">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2</w:t>
      </w:r>
      <w:r w:rsidRPr="0071022F">
        <w:rPr>
          <w:bCs/>
          <w:iCs/>
        </w:rPr>
        <w:t>,</w:t>
      </w:r>
      <w:r>
        <w:rPr>
          <w:bCs/>
          <w:iCs/>
        </w:rPr>
        <w:t xml:space="preserve"> 20</w:t>
      </w:r>
      <w:r w:rsidRPr="0071022F">
        <w:rPr>
          <w:bCs/>
          <w:iCs/>
        </w:rPr>
        <w:t>.</w:t>
      </w:r>
      <w:r w:rsidRPr="0071022F">
        <w:rPr>
          <w:bCs/>
        </w:rPr>
        <w:t>p.</w:t>
      </w:r>
      <w:bookmarkEnd w:id="0"/>
      <w:r>
        <w:rPr>
          <w:bCs/>
        </w:rPr>
        <w:t>)</w:t>
      </w:r>
    </w:p>
    <w:bookmarkEnd w:id="1"/>
    <w:bookmarkEnd w:id="2"/>
    <w:bookmarkEnd w:id="5"/>
    <w:bookmarkEnd w:id="6"/>
    <w:p w14:paraId="786979CE" w14:textId="77777777" w:rsidR="00234514" w:rsidRDefault="00234514">
      <w:pPr>
        <w:jc w:val="center"/>
        <w:rPr>
          <w:b/>
          <w:u w:val="single"/>
        </w:rPr>
      </w:pPr>
    </w:p>
    <w:p w14:paraId="0172CAAD" w14:textId="389B86E1" w:rsidR="00234514" w:rsidRDefault="00E15549">
      <w:pPr>
        <w:jc w:val="center"/>
        <w:rPr>
          <w:b/>
          <w:u w:val="single"/>
        </w:rPr>
      </w:pPr>
      <w:r>
        <w:rPr>
          <w:b/>
          <w:u w:val="single"/>
        </w:rPr>
        <w:t xml:space="preserve">Par grozījumiem Priekuļu novada pašvaldības amatu klasifikācijas katalogā </w:t>
      </w:r>
    </w:p>
    <w:p w14:paraId="09924D84" w14:textId="77777777" w:rsidR="00467844" w:rsidRDefault="00467844">
      <w:pPr>
        <w:ind w:firstLine="567"/>
        <w:jc w:val="both"/>
      </w:pPr>
    </w:p>
    <w:p w14:paraId="0F9AE5BC" w14:textId="68BF2F9B" w:rsidR="00234514" w:rsidRDefault="00E15549">
      <w:pPr>
        <w:ind w:firstLine="567"/>
        <w:jc w:val="both"/>
      </w:pPr>
      <w:r>
        <w:t>Priekuļu novada pašvaldības dome izskata jautājumu par izmaiņām Priekuļu novada pašvaldības amatu klasifikācijas katalogā.</w:t>
      </w:r>
    </w:p>
    <w:p w14:paraId="6EC84E60" w14:textId="07CE26BA" w:rsidR="00260FF5" w:rsidRPr="00260FF5" w:rsidRDefault="00E15549" w:rsidP="00260FF5">
      <w:pPr>
        <w:shd w:val="clear" w:color="auto" w:fill="FFFFFF"/>
        <w:ind w:firstLine="567"/>
        <w:jc w:val="both"/>
        <w:rPr>
          <w:color w:val="000000"/>
        </w:rPr>
      </w:pPr>
      <w:r>
        <w:rPr>
          <w:color w:val="000000"/>
        </w:rPr>
        <w:t>Izvērtējot domes rīcībā esošo informāciju un pamatojoties uz likuma “Par pašvaldībām” 15.panta pirmās daļas 27.punktu, Ministru kabineta 2010.gada 30.novembra noteikumus Nr.1075 “Valsts un pašvaldību institūciju amatu katalogs”, Priekuļu novada domes Finanšu komitejas 2021.gada 25.janvāra lēmumu (protokols Nr.</w:t>
      </w:r>
      <w:r w:rsidR="00260FF5">
        <w:rPr>
          <w:color w:val="000000"/>
        </w:rPr>
        <w:t>2</w:t>
      </w:r>
      <w:r>
        <w:rPr>
          <w:color w:val="000000"/>
        </w:rPr>
        <w:t xml:space="preserve">), </w:t>
      </w:r>
      <w:bookmarkStart w:id="7" w:name="_Hlk38545500"/>
      <w:bookmarkStart w:id="8" w:name="_Hlk41898169"/>
      <w:bookmarkStart w:id="9" w:name="_Hlk57639083"/>
      <w:r w:rsidR="00260FF5" w:rsidRPr="009D3A3F">
        <w:t>elektroniski balsojot tiešsaistē,</w:t>
      </w:r>
      <w:r w:rsidR="00260FF5" w:rsidRPr="0071022F">
        <w:t xml:space="preserve"> </w:t>
      </w:r>
      <w:bookmarkEnd w:id="7"/>
      <w:bookmarkEnd w:id="8"/>
      <w:r w:rsidR="00260FF5" w:rsidRPr="00CE0805">
        <w:t>PAR –1</w:t>
      </w:r>
      <w:r w:rsidR="00260FF5">
        <w:t>3</w:t>
      </w:r>
      <w:r w:rsidR="00260FF5" w:rsidRPr="00CE0805">
        <w:t xml:space="preserve"> (</w:t>
      </w:r>
      <w:r w:rsidR="00260FF5" w:rsidRPr="009E6C4B">
        <w:rPr>
          <w:color w:val="000000"/>
        </w:rPr>
        <w:t xml:space="preserve">Elīna </w:t>
      </w:r>
      <w:r w:rsidR="00260FF5" w:rsidRPr="000A3CCC">
        <w:t>Stapulone, Aivars Tīdemanis,</w:t>
      </w:r>
      <w:r w:rsidR="00260FF5" w:rsidRPr="000A3CCC">
        <w:rPr>
          <w:bCs/>
        </w:rPr>
        <w:t xml:space="preserve"> </w:t>
      </w:r>
      <w:r w:rsidR="00260FF5">
        <w:rPr>
          <w:bCs/>
        </w:rPr>
        <w:t xml:space="preserve">Aivars Kalnietis, Arnis Melbārdis, Mārīte Raudziņa, Juris </w:t>
      </w:r>
      <w:proofErr w:type="spellStart"/>
      <w:r w:rsidR="00260FF5">
        <w:rPr>
          <w:bCs/>
        </w:rPr>
        <w:t>Sukaruks</w:t>
      </w:r>
      <w:proofErr w:type="spellEnd"/>
      <w:r w:rsidR="00260FF5">
        <w:rPr>
          <w:bCs/>
        </w:rPr>
        <w:t xml:space="preserve">, Sarmīte Orehova, Māris Baltiņš, Dace Kalniņa, Jānis </w:t>
      </w:r>
      <w:proofErr w:type="spellStart"/>
      <w:r w:rsidR="00260FF5">
        <w:rPr>
          <w:bCs/>
        </w:rPr>
        <w:t>Ročāns</w:t>
      </w:r>
      <w:proofErr w:type="spellEnd"/>
      <w:r w:rsidR="00260FF5">
        <w:rPr>
          <w:bCs/>
        </w:rPr>
        <w:t>,  Elīna Krieviņa, Baiba Karlsberga, Ināra Roce</w:t>
      </w:r>
      <w:r w:rsidR="00260FF5" w:rsidRPr="00CE0805">
        <w:t>)</w:t>
      </w:r>
      <w:r w:rsidR="00260FF5" w:rsidRPr="008B0D4D">
        <w:t>, PRET –nav, ATTURAS –nav</w:t>
      </w:r>
      <w:r w:rsidR="00260FF5" w:rsidRPr="0071022F">
        <w:t xml:space="preserve">, Priekuļu novada dome </w:t>
      </w:r>
      <w:r w:rsidR="00260FF5" w:rsidRPr="0071022F">
        <w:rPr>
          <w:b/>
        </w:rPr>
        <w:t>nolemj</w:t>
      </w:r>
      <w:r w:rsidR="00260FF5" w:rsidRPr="0071022F">
        <w:t>:</w:t>
      </w:r>
    </w:p>
    <w:bookmarkEnd w:id="9"/>
    <w:p w14:paraId="2688B997" w14:textId="77777777" w:rsidR="00260FF5" w:rsidRDefault="00260FF5">
      <w:pPr>
        <w:shd w:val="clear" w:color="auto" w:fill="FFFFFF"/>
        <w:ind w:firstLine="567"/>
        <w:jc w:val="both"/>
        <w:rPr>
          <w:color w:val="000000"/>
        </w:rPr>
      </w:pPr>
    </w:p>
    <w:p w14:paraId="03BA8BDA" w14:textId="77777777" w:rsidR="00234514" w:rsidRDefault="00E15549" w:rsidP="00260FF5">
      <w:pPr>
        <w:spacing w:after="160" w:line="259" w:lineRule="auto"/>
        <w:ind w:left="142" w:hanging="142"/>
        <w:jc w:val="both"/>
      </w:pPr>
      <w:bookmarkStart w:id="10" w:name="_heading=h.gjdgxs" w:colFirst="0" w:colLast="0"/>
      <w:bookmarkEnd w:id="10"/>
      <w:r>
        <w:t>1.  Ar 2021.gada 1.februāri izdarīt grozījumus Priekuļu novada pašvaldības amatu klasifikācijas katalogā un  izslēgt  šādas amata vienības un:</w:t>
      </w:r>
    </w:p>
    <w:tbl>
      <w:tblPr>
        <w:tblStyle w:val="a"/>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417"/>
        <w:gridCol w:w="2126"/>
        <w:gridCol w:w="1276"/>
        <w:gridCol w:w="2835"/>
      </w:tblGrid>
      <w:tr w:rsidR="00234514" w14:paraId="6FF5F493" w14:textId="77777777">
        <w:tc>
          <w:tcPr>
            <w:tcW w:w="1668" w:type="dxa"/>
            <w:shd w:val="clear" w:color="auto" w:fill="auto"/>
            <w:vAlign w:val="center"/>
          </w:tcPr>
          <w:p w14:paraId="2693DBCD" w14:textId="77777777" w:rsidR="00234514" w:rsidRDefault="00E15549">
            <w:pPr>
              <w:jc w:val="center"/>
            </w:pPr>
            <w:r>
              <w:t>Iestāde</w:t>
            </w:r>
          </w:p>
        </w:tc>
        <w:tc>
          <w:tcPr>
            <w:tcW w:w="1417" w:type="dxa"/>
            <w:shd w:val="clear" w:color="auto" w:fill="auto"/>
            <w:vAlign w:val="center"/>
          </w:tcPr>
          <w:p w14:paraId="11640464" w14:textId="77777777" w:rsidR="00234514" w:rsidRDefault="00E15549">
            <w:pPr>
              <w:jc w:val="center"/>
            </w:pPr>
            <w:r>
              <w:t>Amata nosaukums</w:t>
            </w:r>
          </w:p>
        </w:tc>
        <w:tc>
          <w:tcPr>
            <w:tcW w:w="2126" w:type="dxa"/>
            <w:shd w:val="clear" w:color="auto" w:fill="auto"/>
            <w:vAlign w:val="center"/>
          </w:tcPr>
          <w:p w14:paraId="45093DA7" w14:textId="77777777" w:rsidR="00234514" w:rsidRDefault="00E15549">
            <w:pPr>
              <w:jc w:val="center"/>
            </w:pPr>
            <w:r>
              <w:t>Saime (</w:t>
            </w:r>
            <w:proofErr w:type="spellStart"/>
            <w:r>
              <w:t>apakšsaime</w:t>
            </w:r>
            <w:proofErr w:type="spellEnd"/>
            <w:r>
              <w:t>), līmenis, mēnešalgu grupa</w:t>
            </w:r>
          </w:p>
        </w:tc>
        <w:tc>
          <w:tcPr>
            <w:tcW w:w="1276" w:type="dxa"/>
            <w:shd w:val="clear" w:color="auto" w:fill="auto"/>
            <w:vAlign w:val="center"/>
          </w:tcPr>
          <w:p w14:paraId="0E8F1AE5" w14:textId="77777777" w:rsidR="00234514" w:rsidRDefault="00E15549">
            <w:pPr>
              <w:jc w:val="center"/>
            </w:pPr>
            <w:r>
              <w:t>Vienādo amatu skaits</w:t>
            </w:r>
          </w:p>
        </w:tc>
        <w:tc>
          <w:tcPr>
            <w:tcW w:w="2835" w:type="dxa"/>
            <w:shd w:val="clear" w:color="auto" w:fill="auto"/>
            <w:vAlign w:val="center"/>
          </w:tcPr>
          <w:p w14:paraId="230773E6" w14:textId="77777777" w:rsidR="00234514" w:rsidRDefault="00E15549">
            <w:pPr>
              <w:jc w:val="center"/>
            </w:pPr>
            <w:r>
              <w:t>Maksimālā mēnešalga euro</w:t>
            </w:r>
          </w:p>
        </w:tc>
      </w:tr>
      <w:tr w:rsidR="00234514" w14:paraId="385990C9" w14:textId="77777777">
        <w:tc>
          <w:tcPr>
            <w:tcW w:w="1668" w:type="dxa"/>
            <w:shd w:val="clear" w:color="auto" w:fill="auto"/>
          </w:tcPr>
          <w:p w14:paraId="49B4AA2E" w14:textId="77777777" w:rsidR="00234514" w:rsidRDefault="00E15549">
            <w:r>
              <w:t xml:space="preserve">Finanšu un grāmatvedības nodaļa </w:t>
            </w:r>
          </w:p>
        </w:tc>
        <w:tc>
          <w:tcPr>
            <w:tcW w:w="1417" w:type="dxa"/>
            <w:shd w:val="clear" w:color="auto" w:fill="auto"/>
          </w:tcPr>
          <w:p w14:paraId="32F18D70" w14:textId="77777777" w:rsidR="00234514" w:rsidRDefault="00E15549">
            <w:pPr>
              <w:jc w:val="both"/>
              <w:rPr>
                <w:color w:val="000000"/>
              </w:rPr>
            </w:pPr>
            <w:r>
              <w:rPr>
                <w:color w:val="000000"/>
              </w:rPr>
              <w:t>Galvenais grāmatvedis</w:t>
            </w:r>
          </w:p>
        </w:tc>
        <w:tc>
          <w:tcPr>
            <w:tcW w:w="2126" w:type="dxa"/>
            <w:shd w:val="clear" w:color="auto" w:fill="auto"/>
          </w:tcPr>
          <w:p w14:paraId="77CBDCA6" w14:textId="21E05C6C" w:rsidR="00234514" w:rsidRDefault="00E15549">
            <w:pPr>
              <w:jc w:val="both"/>
              <w:rPr>
                <w:color w:val="000000"/>
                <w:sz w:val="22"/>
                <w:szCs w:val="22"/>
              </w:rPr>
            </w:pPr>
            <w:r>
              <w:rPr>
                <w:color w:val="000000"/>
                <w:sz w:val="22"/>
                <w:szCs w:val="22"/>
              </w:rPr>
              <w:t>14.Grāmatvedība</w:t>
            </w:r>
            <w:r w:rsidR="00260FF5">
              <w:rPr>
                <w:color w:val="000000"/>
                <w:sz w:val="22"/>
                <w:szCs w:val="22"/>
              </w:rPr>
              <w:t xml:space="preserve"> </w:t>
            </w:r>
            <w:r>
              <w:rPr>
                <w:color w:val="000000"/>
                <w:sz w:val="22"/>
                <w:szCs w:val="22"/>
              </w:rPr>
              <w:t>(IV)</w:t>
            </w:r>
          </w:p>
          <w:p w14:paraId="62DCB9C6" w14:textId="77777777" w:rsidR="00234514" w:rsidRDefault="00E15549">
            <w:pPr>
              <w:jc w:val="both"/>
              <w:rPr>
                <w:color w:val="000000"/>
                <w:sz w:val="22"/>
                <w:szCs w:val="22"/>
              </w:rPr>
            </w:pPr>
            <w:r>
              <w:rPr>
                <w:color w:val="000000"/>
                <w:sz w:val="22"/>
                <w:szCs w:val="22"/>
              </w:rPr>
              <w:t>11.mēnešalgu grupa</w:t>
            </w:r>
          </w:p>
          <w:p w14:paraId="48CFC94E" w14:textId="77777777" w:rsidR="00234514" w:rsidRDefault="00234514">
            <w:pPr>
              <w:jc w:val="both"/>
              <w:rPr>
                <w:color w:val="000000"/>
              </w:rPr>
            </w:pPr>
          </w:p>
        </w:tc>
        <w:tc>
          <w:tcPr>
            <w:tcW w:w="1276" w:type="dxa"/>
            <w:shd w:val="clear" w:color="auto" w:fill="auto"/>
          </w:tcPr>
          <w:p w14:paraId="666A9026" w14:textId="77777777" w:rsidR="00234514" w:rsidRDefault="00E15549">
            <w:pPr>
              <w:jc w:val="center"/>
              <w:rPr>
                <w:color w:val="000000"/>
              </w:rPr>
            </w:pPr>
            <w:r>
              <w:rPr>
                <w:color w:val="000000"/>
              </w:rPr>
              <w:t>1</w:t>
            </w:r>
          </w:p>
        </w:tc>
        <w:tc>
          <w:tcPr>
            <w:tcW w:w="2835" w:type="dxa"/>
            <w:shd w:val="clear" w:color="auto" w:fill="auto"/>
          </w:tcPr>
          <w:p w14:paraId="2128E157" w14:textId="77777777" w:rsidR="00234514" w:rsidRDefault="00E15549">
            <w:pPr>
              <w:jc w:val="center"/>
              <w:rPr>
                <w:color w:val="000000"/>
                <w:highlight w:val="yellow"/>
              </w:rPr>
            </w:pPr>
            <w:r>
              <w:rPr>
                <w:color w:val="000000"/>
              </w:rPr>
              <w:t>1382</w:t>
            </w:r>
          </w:p>
        </w:tc>
      </w:tr>
      <w:tr w:rsidR="00234514" w14:paraId="550157D4" w14:textId="77777777">
        <w:tc>
          <w:tcPr>
            <w:tcW w:w="1668" w:type="dxa"/>
            <w:shd w:val="clear" w:color="auto" w:fill="auto"/>
          </w:tcPr>
          <w:p w14:paraId="5F14421D" w14:textId="77777777" w:rsidR="00234514" w:rsidRDefault="00E15549">
            <w:r>
              <w:t>Finanšu un grāmatvedības nodaļa</w:t>
            </w:r>
          </w:p>
        </w:tc>
        <w:tc>
          <w:tcPr>
            <w:tcW w:w="1417" w:type="dxa"/>
            <w:shd w:val="clear" w:color="auto" w:fill="auto"/>
          </w:tcPr>
          <w:p w14:paraId="27393D3C" w14:textId="77777777" w:rsidR="00234514" w:rsidRDefault="00E15549">
            <w:pPr>
              <w:jc w:val="both"/>
              <w:rPr>
                <w:color w:val="000000"/>
              </w:rPr>
            </w:pPr>
            <w:r>
              <w:t>Vadītājs</w:t>
            </w:r>
          </w:p>
        </w:tc>
        <w:tc>
          <w:tcPr>
            <w:tcW w:w="2126" w:type="dxa"/>
            <w:shd w:val="clear" w:color="auto" w:fill="auto"/>
          </w:tcPr>
          <w:p w14:paraId="59EEF372" w14:textId="77777777" w:rsidR="00234514" w:rsidRDefault="00E15549">
            <w:pPr>
              <w:jc w:val="both"/>
              <w:rPr>
                <w:sz w:val="22"/>
                <w:szCs w:val="22"/>
              </w:rPr>
            </w:pPr>
            <w:r>
              <w:rPr>
                <w:sz w:val="22"/>
                <w:szCs w:val="22"/>
              </w:rPr>
              <w:t>13.Finanšu analīze un vadība (IVB)</w:t>
            </w:r>
          </w:p>
          <w:p w14:paraId="3EFE55A6" w14:textId="77777777" w:rsidR="00234514" w:rsidRDefault="00E15549">
            <w:pPr>
              <w:jc w:val="both"/>
              <w:rPr>
                <w:sz w:val="22"/>
                <w:szCs w:val="22"/>
              </w:rPr>
            </w:pPr>
            <w:r>
              <w:rPr>
                <w:sz w:val="22"/>
                <w:szCs w:val="22"/>
              </w:rPr>
              <w:t>13.mēnešalgu grupa</w:t>
            </w:r>
          </w:p>
        </w:tc>
        <w:tc>
          <w:tcPr>
            <w:tcW w:w="1276" w:type="dxa"/>
            <w:shd w:val="clear" w:color="auto" w:fill="auto"/>
          </w:tcPr>
          <w:p w14:paraId="3E289719" w14:textId="77777777" w:rsidR="00234514" w:rsidRDefault="00E15549">
            <w:pPr>
              <w:jc w:val="center"/>
              <w:rPr>
                <w:color w:val="000000"/>
              </w:rPr>
            </w:pPr>
            <w:r>
              <w:t>1</w:t>
            </w:r>
          </w:p>
        </w:tc>
        <w:tc>
          <w:tcPr>
            <w:tcW w:w="2835" w:type="dxa"/>
            <w:shd w:val="clear" w:color="auto" w:fill="auto"/>
          </w:tcPr>
          <w:p w14:paraId="36397319" w14:textId="77777777" w:rsidR="00234514" w:rsidRDefault="00E15549">
            <w:pPr>
              <w:jc w:val="center"/>
              <w:rPr>
                <w:color w:val="000000"/>
                <w:highlight w:val="white"/>
              </w:rPr>
            </w:pPr>
            <w:r>
              <w:rPr>
                <w:highlight w:val="white"/>
              </w:rPr>
              <w:t>1917</w:t>
            </w:r>
          </w:p>
        </w:tc>
      </w:tr>
      <w:tr w:rsidR="00234514" w14:paraId="5709EC12" w14:textId="77777777">
        <w:tc>
          <w:tcPr>
            <w:tcW w:w="1668" w:type="dxa"/>
            <w:shd w:val="clear" w:color="auto" w:fill="auto"/>
          </w:tcPr>
          <w:p w14:paraId="2F934060" w14:textId="77777777" w:rsidR="00234514" w:rsidRDefault="00E15549">
            <w:r>
              <w:t>Finanšu un grāmatvedības nodaļa</w:t>
            </w:r>
          </w:p>
        </w:tc>
        <w:tc>
          <w:tcPr>
            <w:tcW w:w="1417" w:type="dxa"/>
            <w:shd w:val="clear" w:color="auto" w:fill="auto"/>
          </w:tcPr>
          <w:p w14:paraId="3F196CFB" w14:textId="77777777" w:rsidR="00234514" w:rsidRDefault="00E15549">
            <w:pPr>
              <w:jc w:val="both"/>
              <w:rPr>
                <w:color w:val="000000"/>
              </w:rPr>
            </w:pPr>
            <w:r>
              <w:t>Galvenā grāmatveža vietnieks</w:t>
            </w:r>
          </w:p>
        </w:tc>
        <w:tc>
          <w:tcPr>
            <w:tcW w:w="2126" w:type="dxa"/>
            <w:shd w:val="clear" w:color="auto" w:fill="auto"/>
          </w:tcPr>
          <w:p w14:paraId="4D76A54F" w14:textId="77777777" w:rsidR="00234514" w:rsidRDefault="00E15549">
            <w:pPr>
              <w:jc w:val="both"/>
              <w:rPr>
                <w:sz w:val="22"/>
                <w:szCs w:val="22"/>
              </w:rPr>
            </w:pPr>
            <w:r>
              <w:rPr>
                <w:sz w:val="22"/>
                <w:szCs w:val="22"/>
              </w:rPr>
              <w:t>14.Grāmatvedība (IV)</w:t>
            </w:r>
          </w:p>
          <w:p w14:paraId="5BB0B684" w14:textId="77777777" w:rsidR="00234514" w:rsidRDefault="00E15549">
            <w:pPr>
              <w:jc w:val="both"/>
              <w:rPr>
                <w:sz w:val="22"/>
                <w:szCs w:val="22"/>
              </w:rPr>
            </w:pPr>
            <w:r>
              <w:rPr>
                <w:sz w:val="22"/>
                <w:szCs w:val="22"/>
              </w:rPr>
              <w:t>9.mēnešalgu grupa</w:t>
            </w:r>
          </w:p>
        </w:tc>
        <w:tc>
          <w:tcPr>
            <w:tcW w:w="1276" w:type="dxa"/>
            <w:shd w:val="clear" w:color="auto" w:fill="auto"/>
          </w:tcPr>
          <w:p w14:paraId="2556D898" w14:textId="77777777" w:rsidR="00234514" w:rsidRDefault="00E15549">
            <w:pPr>
              <w:jc w:val="center"/>
              <w:rPr>
                <w:color w:val="000000"/>
              </w:rPr>
            </w:pPr>
            <w:r>
              <w:t>1</w:t>
            </w:r>
          </w:p>
        </w:tc>
        <w:tc>
          <w:tcPr>
            <w:tcW w:w="2835" w:type="dxa"/>
            <w:shd w:val="clear" w:color="auto" w:fill="auto"/>
          </w:tcPr>
          <w:p w14:paraId="0FC0159D" w14:textId="77777777" w:rsidR="00234514" w:rsidRDefault="00E15549">
            <w:pPr>
              <w:jc w:val="center"/>
              <w:rPr>
                <w:color w:val="000000"/>
                <w:highlight w:val="white"/>
              </w:rPr>
            </w:pPr>
            <w:r>
              <w:rPr>
                <w:highlight w:val="white"/>
              </w:rPr>
              <w:t>1190</w:t>
            </w:r>
          </w:p>
        </w:tc>
      </w:tr>
      <w:tr w:rsidR="00234514" w14:paraId="14D1345D" w14:textId="77777777">
        <w:trPr>
          <w:trHeight w:val="893"/>
        </w:trPr>
        <w:tc>
          <w:tcPr>
            <w:tcW w:w="1668" w:type="dxa"/>
            <w:shd w:val="clear" w:color="auto" w:fill="auto"/>
          </w:tcPr>
          <w:p w14:paraId="32B245AF" w14:textId="77777777" w:rsidR="00234514" w:rsidRDefault="00E15549">
            <w:r>
              <w:t xml:space="preserve">Administratīvā nodaļa                                                           </w:t>
            </w:r>
          </w:p>
        </w:tc>
        <w:tc>
          <w:tcPr>
            <w:tcW w:w="1417" w:type="dxa"/>
            <w:shd w:val="clear" w:color="auto" w:fill="auto"/>
          </w:tcPr>
          <w:p w14:paraId="7C280790" w14:textId="77777777" w:rsidR="00234514" w:rsidRDefault="00E15549">
            <w:pPr>
              <w:jc w:val="both"/>
              <w:rPr>
                <w:color w:val="000000"/>
              </w:rPr>
            </w:pPr>
            <w:r>
              <w:rPr>
                <w:color w:val="000000"/>
              </w:rPr>
              <w:t>Personāla speciālists</w:t>
            </w:r>
          </w:p>
        </w:tc>
        <w:tc>
          <w:tcPr>
            <w:tcW w:w="2126" w:type="dxa"/>
            <w:shd w:val="clear" w:color="auto" w:fill="auto"/>
          </w:tcPr>
          <w:p w14:paraId="26B719F9" w14:textId="77777777" w:rsidR="00234514" w:rsidRDefault="00E15549">
            <w:pPr>
              <w:jc w:val="both"/>
              <w:rPr>
                <w:color w:val="000000"/>
                <w:sz w:val="22"/>
                <w:szCs w:val="22"/>
              </w:rPr>
            </w:pPr>
            <w:r>
              <w:rPr>
                <w:color w:val="000000"/>
                <w:sz w:val="22"/>
                <w:szCs w:val="22"/>
              </w:rPr>
              <w:t>30.Personāla vadība (IVA)</w:t>
            </w:r>
          </w:p>
          <w:p w14:paraId="596C2645" w14:textId="77777777" w:rsidR="00234514" w:rsidRDefault="00E15549">
            <w:pPr>
              <w:jc w:val="both"/>
              <w:rPr>
                <w:color w:val="000000"/>
                <w:sz w:val="22"/>
                <w:szCs w:val="22"/>
              </w:rPr>
            </w:pPr>
            <w:r>
              <w:rPr>
                <w:color w:val="000000"/>
                <w:sz w:val="22"/>
                <w:szCs w:val="22"/>
              </w:rPr>
              <w:t>10.mēnešalgu grupa</w:t>
            </w:r>
          </w:p>
        </w:tc>
        <w:tc>
          <w:tcPr>
            <w:tcW w:w="1276" w:type="dxa"/>
            <w:shd w:val="clear" w:color="auto" w:fill="auto"/>
          </w:tcPr>
          <w:p w14:paraId="2505037A" w14:textId="77777777" w:rsidR="00234514" w:rsidRDefault="00E15549">
            <w:pPr>
              <w:jc w:val="center"/>
              <w:rPr>
                <w:color w:val="000000"/>
              </w:rPr>
            </w:pPr>
            <w:r>
              <w:rPr>
                <w:color w:val="000000"/>
              </w:rPr>
              <w:t>1</w:t>
            </w:r>
          </w:p>
        </w:tc>
        <w:tc>
          <w:tcPr>
            <w:tcW w:w="2835" w:type="dxa"/>
            <w:shd w:val="clear" w:color="auto" w:fill="auto"/>
          </w:tcPr>
          <w:p w14:paraId="4C633410" w14:textId="77777777" w:rsidR="00234514" w:rsidRDefault="00E15549">
            <w:pPr>
              <w:jc w:val="center"/>
              <w:rPr>
                <w:color w:val="000000"/>
                <w:highlight w:val="yellow"/>
              </w:rPr>
            </w:pPr>
            <w:r>
              <w:rPr>
                <w:color w:val="000000"/>
              </w:rPr>
              <w:t>1287</w:t>
            </w:r>
          </w:p>
        </w:tc>
      </w:tr>
    </w:tbl>
    <w:p w14:paraId="38D29280" w14:textId="77777777" w:rsidR="00234514" w:rsidRDefault="00234514">
      <w:pPr>
        <w:spacing w:after="160" w:line="259" w:lineRule="auto"/>
        <w:jc w:val="both"/>
      </w:pPr>
    </w:p>
    <w:p w14:paraId="014B139E" w14:textId="77777777" w:rsidR="00234514" w:rsidRDefault="00E15549" w:rsidP="00260FF5">
      <w:pPr>
        <w:spacing w:after="160" w:line="259" w:lineRule="auto"/>
        <w:ind w:left="284" w:hanging="284"/>
        <w:jc w:val="both"/>
      </w:pPr>
      <w:r>
        <w:lastRenderedPageBreak/>
        <w:t>2. Ar 2021.gada 1.februāri Priekuļu novada pašvaldībā izveidot  šādas amata vienības un izdarīt grozījumus Priekuļu novada pašvaldības amatu klasifikācijas katalogā:</w:t>
      </w:r>
    </w:p>
    <w:tbl>
      <w:tblPr>
        <w:tblStyle w:val="a0"/>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389"/>
        <w:gridCol w:w="2126"/>
        <w:gridCol w:w="1276"/>
        <w:gridCol w:w="2835"/>
      </w:tblGrid>
      <w:tr w:rsidR="00234514" w14:paraId="27CDE81F" w14:textId="77777777" w:rsidTr="00260FF5">
        <w:tc>
          <w:tcPr>
            <w:tcW w:w="1696" w:type="dxa"/>
            <w:shd w:val="clear" w:color="auto" w:fill="auto"/>
            <w:vAlign w:val="center"/>
          </w:tcPr>
          <w:p w14:paraId="383C4314" w14:textId="77777777" w:rsidR="00234514" w:rsidRDefault="00E15549">
            <w:pPr>
              <w:jc w:val="center"/>
            </w:pPr>
            <w:r>
              <w:t>Iestāde</w:t>
            </w:r>
          </w:p>
        </w:tc>
        <w:tc>
          <w:tcPr>
            <w:tcW w:w="1389" w:type="dxa"/>
            <w:shd w:val="clear" w:color="auto" w:fill="auto"/>
            <w:vAlign w:val="center"/>
          </w:tcPr>
          <w:p w14:paraId="7AE63652" w14:textId="77777777" w:rsidR="00234514" w:rsidRDefault="00E15549">
            <w:pPr>
              <w:jc w:val="center"/>
            </w:pPr>
            <w:r>
              <w:t>Amata nosaukums</w:t>
            </w:r>
          </w:p>
        </w:tc>
        <w:tc>
          <w:tcPr>
            <w:tcW w:w="2126" w:type="dxa"/>
            <w:shd w:val="clear" w:color="auto" w:fill="auto"/>
            <w:vAlign w:val="center"/>
          </w:tcPr>
          <w:p w14:paraId="6CBEEE35" w14:textId="77777777" w:rsidR="00234514" w:rsidRDefault="00E15549">
            <w:pPr>
              <w:jc w:val="center"/>
            </w:pPr>
            <w:r>
              <w:t>Saime (</w:t>
            </w:r>
            <w:proofErr w:type="spellStart"/>
            <w:r>
              <w:t>apakšsaime</w:t>
            </w:r>
            <w:proofErr w:type="spellEnd"/>
            <w:r>
              <w:t>), līmenis, mēnešalgu grupa</w:t>
            </w:r>
          </w:p>
        </w:tc>
        <w:tc>
          <w:tcPr>
            <w:tcW w:w="1276" w:type="dxa"/>
            <w:shd w:val="clear" w:color="auto" w:fill="auto"/>
            <w:vAlign w:val="center"/>
          </w:tcPr>
          <w:p w14:paraId="73C5625C" w14:textId="77777777" w:rsidR="00234514" w:rsidRDefault="00E15549">
            <w:pPr>
              <w:jc w:val="center"/>
            </w:pPr>
            <w:r>
              <w:t>Vienādo amatu skaits</w:t>
            </w:r>
          </w:p>
        </w:tc>
        <w:tc>
          <w:tcPr>
            <w:tcW w:w="2835" w:type="dxa"/>
            <w:shd w:val="clear" w:color="auto" w:fill="auto"/>
            <w:vAlign w:val="center"/>
          </w:tcPr>
          <w:p w14:paraId="765B4E0B" w14:textId="77777777" w:rsidR="00234514" w:rsidRDefault="00E15549">
            <w:pPr>
              <w:jc w:val="center"/>
            </w:pPr>
            <w:r>
              <w:t>Maksimālā mēnešalga euro</w:t>
            </w:r>
          </w:p>
        </w:tc>
      </w:tr>
      <w:tr w:rsidR="00234514" w14:paraId="59D83339" w14:textId="77777777" w:rsidTr="00260FF5">
        <w:tc>
          <w:tcPr>
            <w:tcW w:w="1696" w:type="dxa"/>
            <w:shd w:val="clear" w:color="auto" w:fill="auto"/>
          </w:tcPr>
          <w:p w14:paraId="214EA4F0" w14:textId="77777777" w:rsidR="00234514" w:rsidRDefault="00E15549">
            <w:r>
              <w:t>Finanšu un grāmatvedības nodaļa</w:t>
            </w:r>
          </w:p>
        </w:tc>
        <w:tc>
          <w:tcPr>
            <w:tcW w:w="1389" w:type="dxa"/>
            <w:shd w:val="clear" w:color="auto" w:fill="auto"/>
          </w:tcPr>
          <w:p w14:paraId="611A3D17" w14:textId="77777777" w:rsidR="00234514" w:rsidRDefault="00E15549">
            <w:pPr>
              <w:jc w:val="both"/>
              <w:rPr>
                <w:color w:val="000000"/>
              </w:rPr>
            </w:pPr>
            <w:r>
              <w:rPr>
                <w:color w:val="000000"/>
              </w:rPr>
              <w:t>Vadītājs</w:t>
            </w:r>
          </w:p>
        </w:tc>
        <w:tc>
          <w:tcPr>
            <w:tcW w:w="2126" w:type="dxa"/>
            <w:shd w:val="clear" w:color="auto" w:fill="auto"/>
          </w:tcPr>
          <w:p w14:paraId="46A67425" w14:textId="6299292D" w:rsidR="00234514" w:rsidRDefault="00E15549">
            <w:pPr>
              <w:jc w:val="both"/>
              <w:rPr>
                <w:color w:val="000000"/>
                <w:sz w:val="22"/>
                <w:szCs w:val="22"/>
              </w:rPr>
            </w:pPr>
            <w:r>
              <w:rPr>
                <w:color w:val="000000"/>
                <w:sz w:val="22"/>
                <w:szCs w:val="22"/>
              </w:rPr>
              <w:t>1.Administratīvā vadība</w:t>
            </w:r>
            <w:r w:rsidR="00260FF5">
              <w:rPr>
                <w:color w:val="000000"/>
                <w:sz w:val="22"/>
                <w:szCs w:val="22"/>
              </w:rPr>
              <w:t xml:space="preserve"> </w:t>
            </w:r>
            <w:r>
              <w:rPr>
                <w:color w:val="000000"/>
                <w:sz w:val="22"/>
                <w:szCs w:val="22"/>
              </w:rPr>
              <w:t>(IVA)</w:t>
            </w:r>
          </w:p>
          <w:p w14:paraId="7AC292A5" w14:textId="77777777" w:rsidR="00234514" w:rsidRDefault="00E15549">
            <w:pPr>
              <w:jc w:val="both"/>
              <w:rPr>
                <w:color w:val="000000"/>
              </w:rPr>
            </w:pPr>
            <w:r>
              <w:rPr>
                <w:color w:val="000000"/>
                <w:sz w:val="22"/>
                <w:szCs w:val="22"/>
              </w:rPr>
              <w:t>13.mēnešalgu grupa</w:t>
            </w:r>
          </w:p>
        </w:tc>
        <w:tc>
          <w:tcPr>
            <w:tcW w:w="1276" w:type="dxa"/>
            <w:shd w:val="clear" w:color="auto" w:fill="auto"/>
          </w:tcPr>
          <w:p w14:paraId="1580B0AA" w14:textId="77777777" w:rsidR="00234514" w:rsidRDefault="00E15549">
            <w:pPr>
              <w:jc w:val="center"/>
              <w:rPr>
                <w:color w:val="000000"/>
              </w:rPr>
            </w:pPr>
            <w:r>
              <w:rPr>
                <w:color w:val="000000"/>
              </w:rPr>
              <w:t>1</w:t>
            </w:r>
          </w:p>
        </w:tc>
        <w:tc>
          <w:tcPr>
            <w:tcW w:w="2835" w:type="dxa"/>
            <w:shd w:val="clear" w:color="auto" w:fill="auto"/>
          </w:tcPr>
          <w:p w14:paraId="050632D1" w14:textId="77777777" w:rsidR="00234514" w:rsidRDefault="00E15549">
            <w:pPr>
              <w:jc w:val="center"/>
              <w:rPr>
                <w:color w:val="000000"/>
                <w:highlight w:val="yellow"/>
              </w:rPr>
            </w:pPr>
            <w:r>
              <w:rPr>
                <w:color w:val="000000"/>
              </w:rPr>
              <w:t>1917</w:t>
            </w:r>
          </w:p>
        </w:tc>
      </w:tr>
      <w:tr w:rsidR="00234514" w14:paraId="255043E5" w14:textId="77777777" w:rsidTr="00260FF5">
        <w:tc>
          <w:tcPr>
            <w:tcW w:w="1696" w:type="dxa"/>
            <w:shd w:val="clear" w:color="auto" w:fill="auto"/>
          </w:tcPr>
          <w:p w14:paraId="5631ED7E" w14:textId="77777777" w:rsidR="00234514" w:rsidRDefault="00E15549">
            <w:r>
              <w:t>Finanšu un grāmatvedības nodaļa</w:t>
            </w:r>
          </w:p>
        </w:tc>
        <w:tc>
          <w:tcPr>
            <w:tcW w:w="1389" w:type="dxa"/>
            <w:shd w:val="clear" w:color="auto" w:fill="auto"/>
          </w:tcPr>
          <w:p w14:paraId="5470E82B" w14:textId="77777777" w:rsidR="00234514" w:rsidRDefault="00E15549">
            <w:pPr>
              <w:jc w:val="both"/>
              <w:rPr>
                <w:color w:val="000000"/>
              </w:rPr>
            </w:pPr>
            <w:r>
              <w:rPr>
                <w:color w:val="000000"/>
              </w:rPr>
              <w:t>Vadītāja vietnieks</w:t>
            </w:r>
          </w:p>
        </w:tc>
        <w:tc>
          <w:tcPr>
            <w:tcW w:w="2126" w:type="dxa"/>
            <w:shd w:val="clear" w:color="auto" w:fill="auto"/>
          </w:tcPr>
          <w:p w14:paraId="0A879AF5" w14:textId="77777777" w:rsidR="00234514" w:rsidRDefault="00E15549">
            <w:pPr>
              <w:jc w:val="both"/>
              <w:rPr>
                <w:color w:val="000000"/>
                <w:sz w:val="22"/>
                <w:szCs w:val="22"/>
              </w:rPr>
            </w:pPr>
            <w:r>
              <w:rPr>
                <w:color w:val="000000"/>
                <w:sz w:val="22"/>
                <w:szCs w:val="22"/>
              </w:rPr>
              <w:t>14.Grāmatvedība(IIIB)</w:t>
            </w:r>
          </w:p>
          <w:p w14:paraId="0F505A9C" w14:textId="77777777" w:rsidR="00234514" w:rsidRDefault="00E15549">
            <w:pPr>
              <w:jc w:val="both"/>
              <w:rPr>
                <w:color w:val="000000"/>
                <w:sz w:val="22"/>
                <w:szCs w:val="22"/>
              </w:rPr>
            </w:pPr>
            <w:r>
              <w:rPr>
                <w:color w:val="000000"/>
                <w:sz w:val="22"/>
                <w:szCs w:val="22"/>
              </w:rPr>
              <w:t>10.mēnešalgu grupa</w:t>
            </w:r>
          </w:p>
          <w:p w14:paraId="18B0CF97" w14:textId="77777777" w:rsidR="00234514" w:rsidRDefault="00234514">
            <w:pPr>
              <w:jc w:val="both"/>
              <w:rPr>
                <w:color w:val="000000"/>
                <w:sz w:val="22"/>
                <w:szCs w:val="22"/>
              </w:rPr>
            </w:pPr>
          </w:p>
        </w:tc>
        <w:tc>
          <w:tcPr>
            <w:tcW w:w="1276" w:type="dxa"/>
            <w:shd w:val="clear" w:color="auto" w:fill="auto"/>
          </w:tcPr>
          <w:p w14:paraId="5218A12E" w14:textId="77777777" w:rsidR="00234514" w:rsidRDefault="00E15549">
            <w:pPr>
              <w:jc w:val="center"/>
              <w:rPr>
                <w:color w:val="000000"/>
              </w:rPr>
            </w:pPr>
            <w:r>
              <w:rPr>
                <w:color w:val="000000"/>
              </w:rPr>
              <w:t>1</w:t>
            </w:r>
          </w:p>
        </w:tc>
        <w:tc>
          <w:tcPr>
            <w:tcW w:w="2835" w:type="dxa"/>
            <w:shd w:val="clear" w:color="auto" w:fill="auto"/>
          </w:tcPr>
          <w:p w14:paraId="15EC4CF0" w14:textId="77777777" w:rsidR="00234514" w:rsidRDefault="00E15549">
            <w:pPr>
              <w:jc w:val="center"/>
              <w:rPr>
                <w:color w:val="000000"/>
              </w:rPr>
            </w:pPr>
            <w:r>
              <w:rPr>
                <w:color w:val="000000"/>
              </w:rPr>
              <w:t>1287</w:t>
            </w:r>
          </w:p>
        </w:tc>
      </w:tr>
      <w:tr w:rsidR="00234514" w14:paraId="7D64B6C9" w14:textId="77777777" w:rsidTr="00260FF5">
        <w:tc>
          <w:tcPr>
            <w:tcW w:w="1696" w:type="dxa"/>
            <w:shd w:val="clear" w:color="auto" w:fill="auto"/>
          </w:tcPr>
          <w:p w14:paraId="13495E38" w14:textId="77777777" w:rsidR="00234514" w:rsidRDefault="00E15549">
            <w:r>
              <w:t xml:space="preserve">Administratīvā nodaļa                                                           </w:t>
            </w:r>
          </w:p>
        </w:tc>
        <w:tc>
          <w:tcPr>
            <w:tcW w:w="1389" w:type="dxa"/>
            <w:shd w:val="clear" w:color="auto" w:fill="auto"/>
          </w:tcPr>
          <w:p w14:paraId="00B03C66" w14:textId="77777777" w:rsidR="00234514" w:rsidRDefault="00E15549">
            <w:pPr>
              <w:jc w:val="both"/>
              <w:rPr>
                <w:color w:val="000000"/>
              </w:rPr>
            </w:pPr>
            <w:r>
              <w:rPr>
                <w:color w:val="000000"/>
              </w:rPr>
              <w:t>Personāla vadītājs</w:t>
            </w:r>
          </w:p>
        </w:tc>
        <w:tc>
          <w:tcPr>
            <w:tcW w:w="2126" w:type="dxa"/>
            <w:shd w:val="clear" w:color="auto" w:fill="auto"/>
          </w:tcPr>
          <w:p w14:paraId="0409D56C" w14:textId="77777777" w:rsidR="00234514" w:rsidRDefault="00E15549">
            <w:pPr>
              <w:jc w:val="both"/>
              <w:rPr>
                <w:color w:val="000000"/>
                <w:sz w:val="22"/>
                <w:szCs w:val="22"/>
              </w:rPr>
            </w:pPr>
            <w:r>
              <w:rPr>
                <w:color w:val="000000"/>
                <w:sz w:val="22"/>
                <w:szCs w:val="22"/>
              </w:rPr>
              <w:t>30.Personāla vadība (IVB)</w:t>
            </w:r>
          </w:p>
          <w:p w14:paraId="084D44D7" w14:textId="77777777" w:rsidR="00234514" w:rsidRDefault="00E15549">
            <w:pPr>
              <w:jc w:val="both"/>
              <w:rPr>
                <w:color w:val="000000"/>
                <w:sz w:val="22"/>
                <w:szCs w:val="22"/>
              </w:rPr>
            </w:pPr>
            <w:r>
              <w:rPr>
                <w:color w:val="000000"/>
                <w:sz w:val="22"/>
                <w:szCs w:val="22"/>
              </w:rPr>
              <w:t>11.mēnešalgu grupa</w:t>
            </w:r>
          </w:p>
        </w:tc>
        <w:tc>
          <w:tcPr>
            <w:tcW w:w="1276" w:type="dxa"/>
            <w:shd w:val="clear" w:color="auto" w:fill="auto"/>
          </w:tcPr>
          <w:p w14:paraId="17569859" w14:textId="77777777" w:rsidR="00234514" w:rsidRDefault="00E15549">
            <w:pPr>
              <w:jc w:val="center"/>
              <w:rPr>
                <w:color w:val="000000"/>
              </w:rPr>
            </w:pPr>
            <w:r>
              <w:rPr>
                <w:color w:val="000000"/>
              </w:rPr>
              <w:t>1</w:t>
            </w:r>
          </w:p>
        </w:tc>
        <w:tc>
          <w:tcPr>
            <w:tcW w:w="2835" w:type="dxa"/>
            <w:shd w:val="clear" w:color="auto" w:fill="auto"/>
          </w:tcPr>
          <w:p w14:paraId="701F574A" w14:textId="77777777" w:rsidR="00234514" w:rsidRDefault="00E15549">
            <w:pPr>
              <w:jc w:val="center"/>
              <w:rPr>
                <w:color w:val="000000"/>
              </w:rPr>
            </w:pPr>
            <w:r>
              <w:rPr>
                <w:color w:val="000000"/>
              </w:rPr>
              <w:t>1382</w:t>
            </w:r>
          </w:p>
        </w:tc>
      </w:tr>
    </w:tbl>
    <w:p w14:paraId="1BC527A5" w14:textId="77777777" w:rsidR="00234514" w:rsidRDefault="00234514">
      <w:pPr>
        <w:spacing w:after="160" w:line="259" w:lineRule="auto"/>
        <w:jc w:val="both"/>
      </w:pPr>
    </w:p>
    <w:p w14:paraId="758EAAB2" w14:textId="37465634" w:rsidR="00234514" w:rsidRDefault="00E15549" w:rsidP="00260FF5">
      <w:pPr>
        <w:tabs>
          <w:tab w:val="left" w:pos="426"/>
        </w:tabs>
        <w:spacing w:after="160" w:line="259" w:lineRule="auto"/>
        <w:ind w:left="426" w:hanging="426"/>
        <w:jc w:val="both"/>
      </w:pPr>
      <w:r>
        <w:t>3.</w:t>
      </w:r>
      <w:r w:rsidR="00260FF5">
        <w:t xml:space="preserve"> </w:t>
      </w:r>
      <w:r>
        <w:t>Pe</w:t>
      </w:r>
      <w:r w:rsidR="008A56F3">
        <w:t>r</w:t>
      </w:r>
      <w:r>
        <w:t xml:space="preserve">sonāla speciālistei </w:t>
      </w:r>
      <w:proofErr w:type="spellStart"/>
      <w:r>
        <w:t>D.Rūķei</w:t>
      </w:r>
      <w:proofErr w:type="spellEnd"/>
      <w:r>
        <w:t xml:space="preserve"> veikt izmaiņas Priekuļu novada pašvaldības  amatu klasifikācijas katalogā.</w:t>
      </w:r>
    </w:p>
    <w:p w14:paraId="7D3772FC" w14:textId="2065E0DC" w:rsidR="00234514" w:rsidRDefault="00E15549" w:rsidP="00260FF5">
      <w:pPr>
        <w:tabs>
          <w:tab w:val="left" w:pos="426"/>
        </w:tabs>
        <w:spacing w:after="160" w:line="259" w:lineRule="auto"/>
        <w:ind w:left="426" w:hanging="426"/>
        <w:jc w:val="both"/>
      </w:pPr>
      <w:r>
        <w:t>4.</w:t>
      </w:r>
      <w:r w:rsidR="00260FF5">
        <w:t xml:space="preserve"> </w:t>
      </w:r>
      <w:r>
        <w:t xml:space="preserve">Kontroli par lēmuma izpildi uzdot Priekuļu novada pašvaldības izpilddirektoram </w:t>
      </w:r>
      <w:proofErr w:type="spellStart"/>
      <w:r>
        <w:t>F.Puņeiko</w:t>
      </w:r>
      <w:proofErr w:type="spellEnd"/>
      <w:r>
        <w:t>.</w:t>
      </w:r>
    </w:p>
    <w:p w14:paraId="5343255B" w14:textId="264F6FF6" w:rsidR="00234514" w:rsidRDefault="00234514">
      <w:pPr>
        <w:jc w:val="both"/>
        <w:rPr>
          <w:sz w:val="20"/>
          <w:szCs w:val="20"/>
        </w:rPr>
      </w:pPr>
    </w:p>
    <w:p w14:paraId="5086ED95" w14:textId="77777777" w:rsidR="00260FF5" w:rsidRDefault="00260FF5">
      <w:pPr>
        <w:jc w:val="both"/>
        <w:rPr>
          <w:sz w:val="20"/>
          <w:szCs w:val="20"/>
        </w:rPr>
      </w:pPr>
    </w:p>
    <w:p w14:paraId="78E9526E" w14:textId="77777777" w:rsidR="006E3CE1" w:rsidRPr="0071022F" w:rsidRDefault="006E3CE1" w:rsidP="006E3CE1">
      <w:bookmarkStart w:id="11"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1"/>
    <w:p w14:paraId="245E7388" w14:textId="77777777" w:rsidR="00234514" w:rsidRDefault="00234514">
      <w:pPr>
        <w:jc w:val="center"/>
        <w:rPr>
          <w:b/>
        </w:rPr>
      </w:pPr>
    </w:p>
    <w:sectPr w:rsidR="00234514" w:rsidSect="00467844">
      <w:headerReference w:type="default" r:id="rId8"/>
      <w:pgSz w:w="11906" w:h="16838"/>
      <w:pgMar w:top="1440" w:right="849"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EFCBA" w14:textId="77777777" w:rsidR="002A6EE1" w:rsidRDefault="002A6EE1">
      <w:r>
        <w:separator/>
      </w:r>
    </w:p>
  </w:endnote>
  <w:endnote w:type="continuationSeparator" w:id="0">
    <w:p w14:paraId="702467DE" w14:textId="77777777" w:rsidR="002A6EE1" w:rsidRDefault="002A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0527B" w14:textId="77777777" w:rsidR="002A6EE1" w:rsidRDefault="002A6EE1">
      <w:r>
        <w:separator/>
      </w:r>
    </w:p>
  </w:footnote>
  <w:footnote w:type="continuationSeparator" w:id="0">
    <w:p w14:paraId="184A40D6" w14:textId="77777777" w:rsidR="002A6EE1" w:rsidRDefault="002A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F3A30" w14:textId="2F9E9049" w:rsidR="00234514" w:rsidRDefault="00234514">
    <w:pPr>
      <w:pBdr>
        <w:top w:val="nil"/>
        <w:left w:val="nil"/>
        <w:bottom w:val="nil"/>
        <w:right w:val="nil"/>
        <w:between w:val="nil"/>
      </w:pBdr>
      <w:tabs>
        <w:tab w:val="center" w:pos="4153"/>
        <w:tab w:val="right" w:pos="830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514"/>
    <w:rsid w:val="00234514"/>
    <w:rsid w:val="00260FF5"/>
    <w:rsid w:val="002A6EE1"/>
    <w:rsid w:val="003A5C5B"/>
    <w:rsid w:val="00467844"/>
    <w:rsid w:val="006E3CE1"/>
    <w:rsid w:val="008A56F3"/>
    <w:rsid w:val="008D4635"/>
    <w:rsid w:val="00E155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6D86"/>
  <w15:docId w15:val="{B03E8404-9FA7-410E-B3E4-5963AB3C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rPr>
      <w:rFonts w:ascii="Calibri" w:eastAsia="Calibri" w:hAnsi="Calibri"/>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pPr>
    <w:rPr>
      <w:color w:val="000000"/>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styleId="Galvene">
    <w:name w:val="header"/>
    <w:basedOn w:val="Parasts"/>
    <w:link w:val="GalveneRakstz"/>
    <w:uiPriority w:val="99"/>
    <w:unhideWhenUsed/>
    <w:rsid w:val="002B295C"/>
    <w:pPr>
      <w:tabs>
        <w:tab w:val="center" w:pos="4153"/>
        <w:tab w:val="right" w:pos="8306"/>
      </w:tabs>
    </w:pPr>
  </w:style>
  <w:style w:type="character" w:customStyle="1" w:styleId="GalveneRakstz">
    <w:name w:val="Galvene Rakstz."/>
    <w:basedOn w:val="Noklusjumarindkopasfonts"/>
    <w:link w:val="Galvene"/>
    <w:uiPriority w:val="99"/>
    <w:rsid w:val="002B295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B295C"/>
    <w:pPr>
      <w:tabs>
        <w:tab w:val="center" w:pos="4153"/>
        <w:tab w:val="right" w:pos="8306"/>
      </w:tabs>
    </w:pPr>
  </w:style>
  <w:style w:type="character" w:customStyle="1" w:styleId="KjeneRakstz">
    <w:name w:val="Kājene Rakstz."/>
    <w:basedOn w:val="Noklusjumarindkopasfonts"/>
    <w:link w:val="Kjene"/>
    <w:uiPriority w:val="99"/>
    <w:rsid w:val="002B295C"/>
    <w:rPr>
      <w:rFonts w:ascii="Times New Roman" w:eastAsia="Times New Roman" w:hAnsi="Times New Roman" w:cs="Times New Roman"/>
      <w:sz w:val="24"/>
      <w:szCs w:val="24"/>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l41fdfZBF0aF5KxK0ZBS5Nx5Hw==">AMUW2mVEalC+NbMWQVCDwyeuPjDKrqqqJK1gJnpwXbri3X748p7l38Uh0Xv/TsN+eJ1cwg4QZNs7xlGJ1U7ps9syOkp72U4qg2pQpeOP3uvvbERf824OVrsj+YhJ/BjrYtGIGMTgscbp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1787</Words>
  <Characters>1019</Characters>
  <Application>Microsoft Office Word</Application>
  <DocSecurity>0</DocSecurity>
  <Lines>8</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2021-02-01T10:45:00Z</cp:lastPrinted>
  <dcterms:created xsi:type="dcterms:W3CDTF">2021-02-01T10:45:00Z</dcterms:created>
  <dcterms:modified xsi:type="dcterms:W3CDTF">2021-02-03T11:23:00Z</dcterms:modified>
</cp:coreProperties>
</file>